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686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-2003/2025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 – Мансийского автономного округа – 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Нефтеюганского судебного района Ханты – Мансийского автономного округа – Югры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начальника территориального отдела Управления федеральной службы по надзору в сфере защиты прав потребителей и благополучия человека в г. Нефтеюганске и Нефтеюганском районе и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Яхе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Марины Михайловны, </w:t>
      </w:r>
      <w:r>
        <w:rPr>
          <w:rStyle w:val="cat-ExternalSystem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регистрации и проживания: </w:t>
      </w:r>
      <w:r>
        <w:rPr>
          <w:rStyle w:val="cat-UserDefinedgrp-4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7rplc-2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19.6.1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21.05.2025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14 час. 10 мин. по 18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Нефтеюганской межрайонной прокуратурой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выявлено, что 20.12.2024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территориального отдела Управления федеральной службы по надзору в сфере защиты прав потребителей и благополучия человека в г. Нефтеюганске и Нефтеюганском районе и г. </w:t>
      </w:r>
      <w:r>
        <w:rPr>
          <w:rFonts w:ascii="Times New Roman" w:eastAsia="Times New Roman" w:hAnsi="Times New Roman" w:cs="Times New Roman"/>
          <w:sz w:val="26"/>
          <w:szCs w:val="26"/>
        </w:rPr>
        <w:t>Пыть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Яхе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ХМАО-Югра, г.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Набережная, д.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своевременное внесение сведений в ФГИС ЕРКНМ ввиду чего, в течение одного года информация о контрольном (надзорном) мероприятии в единый реестр контрольных (надзорных) мероприятий вносилась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территориальным отделом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срока более двух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что выразилось в следующем.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с 28.11.2024 по 11.12.2024 Территориальным отделом проведено внеплановое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контрольное (надзорное) мероприятие (далее - КИМ)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-выездная проверка в отношении КОУ ХМАО-Югры «Нефтеюганская школа-интернат для обучающихся с ограниченными возможностями здоровья» (№ </w:t>
      </w:r>
      <w:r>
        <w:rPr>
          <w:rStyle w:val="cat-UserDefinedgrp-4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КНМ Территориальным отделом 19.12.2024 вынесено постановление №120 о привлечении должностного лица КОУ ХМАО-Югры «Нефтеюганская школа-интернат для обучающихся с ограниченными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возможностями здоровья» к административной ответственности по ч.1 ст. 6.7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сведения о привлечении к ответственности по результатам КНМ, о виде и размере назначенного наказания, а также само постановление №120 в нарушение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12, 13, 14 Раздела IV приложения к Правилам требований размещены в ФГИС ЕРКНМ лишь 26.12.2024, т.е. в нарушение однодневного срока с момента принятия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07.11.2024 по 19.11.2024 Территориальным отделом проведено внеплановое КИМ - выездная проверка в отношении НГМУП «Школьное пит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ание» (№ </w:t>
      </w:r>
      <w:r>
        <w:rPr>
          <w:rStyle w:val="cat-UserDefinedgrp-46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КНМ Территориальным отделом принято решение о привлечении должностных лиц НЕМУ 11 «Школьное питание» к административной ответственности, в связи с чем вынесены постановление по делам об административных правонарушениях, а именно: 20.12.2024 в отношении </w:t>
      </w:r>
      <w:r>
        <w:rPr>
          <w:rStyle w:val="cat-UserDefinedgrp-47rplc-42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6.6 КоАП РФ, 19.12.2024 и 20.12.2024 в отношении Николаевой Р.Г по ст.6.6 КоАП РФ и ч.1 ст. 14.43 КоАП РФ соответственно, 03.12.2024 в отношении </w:t>
      </w:r>
      <w:r>
        <w:rPr>
          <w:rStyle w:val="cat-UserDefinedgrp-48rplc-48"/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по ст. 6.6 КоАП РФ, 03.12.2024 в отношении Степ</w:t>
      </w:r>
      <w:r>
        <w:rPr>
          <w:rFonts w:ascii="Times New Roman" w:eastAsia="Times New Roman" w:hAnsi="Times New Roman" w:cs="Times New Roman"/>
          <w:sz w:val="26"/>
          <w:szCs w:val="26"/>
        </w:rPr>
        <w:t>ановой В.Е. по ст. 6.6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привлечении к ответственности по результатам КНМ, о виде и размере назначенного наказания, а также сами указанные постановления в нарушение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12, 13, 14 Раздела IV приложения к Правилам в ФГИС Е</w:t>
      </w:r>
      <w:r>
        <w:rPr>
          <w:rFonts w:ascii="Times New Roman" w:eastAsia="Times New Roman" w:hAnsi="Times New Roman" w:cs="Times New Roman"/>
          <w:sz w:val="26"/>
          <w:szCs w:val="26"/>
        </w:rPr>
        <w:t>РКНМ размещены лишь 24.12.2024.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руководителя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 от 24.01.2011 № 11/л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назначена на должность заместителя 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отдела.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п.3.1.2.2 должностно</w:t>
      </w:r>
      <w:r>
        <w:rPr>
          <w:rFonts w:ascii="Times New Roman" w:eastAsia="Times New Roman" w:hAnsi="Times New Roman" w:cs="Times New Roman"/>
          <w:sz w:val="26"/>
          <w:szCs w:val="26"/>
        </w:rPr>
        <w:t>го регламента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возложены обязанности по осуществлению контроля за внесением в Единый реестр проверок (ЕРКНМ)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проверкам, пров</w:t>
      </w:r>
      <w:r>
        <w:rPr>
          <w:rFonts w:ascii="Times New Roman" w:eastAsia="Times New Roman" w:hAnsi="Times New Roman" w:cs="Times New Roman"/>
          <w:sz w:val="26"/>
          <w:szCs w:val="26"/>
        </w:rPr>
        <w:t>одимым Территориальным отделом.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.4 распоряжения начальника Территориального отдела от 04.03.2024 №</w:t>
      </w:r>
      <w:r>
        <w:rPr>
          <w:rStyle w:val="cat-UserDefinedgrp-49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возложена обязанность по контролю за исполнением специалистами отдела данного распоряжения, в частности по контролю своевременного внесения сведений в ФГИС ЕРКНМ в соответствии с Правилами.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правонарушении признала, раскаялась, сообщила, что приняты меры в целях недопущения подобных правонарушений, просила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Старший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омощник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Нургатин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считал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доказанной представленными п</w:t>
      </w:r>
      <w:r>
        <w:rPr>
          <w:rFonts w:ascii="Times New Roman" w:eastAsia="Times New Roman" w:hAnsi="Times New Roman" w:cs="Times New Roman"/>
          <w:sz w:val="26"/>
          <w:szCs w:val="26"/>
        </w:rPr>
        <w:t>о делу доказательствами, полагал возможным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Уточнил, что акт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осмотра именуется как акт осмотра ФГИС ЕРКНМ, осмотр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информации произведен 21.05.2025 и соответственно скриншоты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открытых в системе ФГИС ЕРКНМ </w:t>
      </w:r>
      <w:r>
        <w:rPr>
          <w:rFonts w:ascii="Times New Roman" w:eastAsia="Times New Roman" w:hAnsi="Times New Roman" w:cs="Times New Roman"/>
          <w:sz w:val="26"/>
          <w:szCs w:val="26"/>
        </w:rPr>
        <w:t>от 21.05.2025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межрайонного прокурора,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следующим выводам.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hyperlink r:id="rId4" w:anchor="/document/12125267/entry/56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частью 3 статьи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19.6.1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административным правонарушением признается несоблюдение должностными лицами федеральных органов исполнительной власти, органов исполнительной власти субъектов Российской Федерации, государственных корпораций, публично-правовых компаний,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наделенных полномочиями по осуществлению государственного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(надзора), муниципального контроля, требований законодательства о государственном контроле (надзоре), муниципальном контроле, выразившееся в невнесении информации о проверке в единый реестр проверок или информации о профилактическом мероприятии, контрольном (надзорном) мероприятии в единый реестр контрольных (надзорных) мероприятий,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мероприятии, контрольном (надзорном) мероприятии в единый реестр контрольных (надзорных) мероприятий,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мероприятии, контрольном (надзорном) мероприятии в единый реестр контрольных (надзорных) мероприятий.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Нефтеюганской межрайонной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в рамках проведения мониторинга данных, размещенных в Федеральной государственной информационной системе «Единый реестр контрольных (надзорных) мероприятий» (далее - ФГИС «ЕРКНМ»), выявлены факты несвоевременного внесения сведений о проведенных территориальным отделом Управления федеральной службы по надзору в сфере защиты прав потребителей и благополучия человека в г. Нефтеюганске и Нефтеюганском районе и г. </w:t>
      </w:r>
      <w:r>
        <w:rPr>
          <w:rFonts w:ascii="Times New Roman" w:eastAsia="Times New Roman" w:hAnsi="Times New Roman" w:cs="Times New Roman"/>
          <w:sz w:val="26"/>
          <w:szCs w:val="26"/>
        </w:rPr>
        <w:t>Пыть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Яхе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профилактических мероприятиях (далее - ПМ).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результатам проверки установлены факты 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ия более двух раз в течение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сроков внесения сведений о проведенных контрольных (надзорных) мероприятиях.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лица, в отношении которого ведется производство по делу об административном правонарушении, полностью подтверждается представленными по делу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осмотра ФГИС ЕРКНМ от </w:t>
      </w:r>
      <w:r>
        <w:rPr>
          <w:rFonts w:ascii="Times New Roman" w:eastAsia="Times New Roman" w:hAnsi="Times New Roman" w:cs="Times New Roman"/>
          <w:sz w:val="26"/>
          <w:szCs w:val="26"/>
        </w:rPr>
        <w:t>21.05.2025;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-скриншотами страниц ФГИС ЕРКНМ от </w:t>
      </w:r>
      <w:r>
        <w:rPr>
          <w:rFonts w:ascii="Times New Roman" w:eastAsia="Times New Roman" w:hAnsi="Times New Roman" w:cs="Times New Roman"/>
          <w:sz w:val="26"/>
          <w:szCs w:val="26"/>
        </w:rPr>
        <w:t>21.05.2025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приказа о переводе работника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24.01.2011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должностного регламента,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п.3.1.2.2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возложены обязанности по осуществлению контроля за внесением в Единый реестр проверок (ЕРКНМ)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проверкам, про</w:t>
      </w:r>
      <w:r>
        <w:rPr>
          <w:rFonts w:ascii="Times New Roman" w:eastAsia="Times New Roman" w:hAnsi="Times New Roman" w:cs="Times New Roman"/>
          <w:sz w:val="26"/>
          <w:szCs w:val="26"/>
        </w:rPr>
        <w:t>водимым Территориальным отделом;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распоряжения начальника Территориального отдела от 04.03.2024 №</w:t>
      </w:r>
      <w:r>
        <w:rPr>
          <w:rStyle w:val="cat-UserDefinedgrp-49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п. 4 которого на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возложена обязанность в частности по контролю своевременного внесения сведений в ФГИС ЕРКНМ в соответствии с Правил</w:t>
      </w:r>
      <w:r>
        <w:rPr>
          <w:rFonts w:ascii="Times New Roman" w:eastAsia="Times New Roman" w:hAnsi="Times New Roman" w:cs="Times New Roman"/>
          <w:sz w:val="26"/>
          <w:szCs w:val="26"/>
        </w:rPr>
        <w:t>ами;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копиями постановлений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иными письменными доказательствами по делу, которые мировой судья п</w:t>
      </w:r>
      <w:r>
        <w:rPr>
          <w:rFonts w:ascii="Times New Roman" w:eastAsia="Times New Roman" w:hAnsi="Times New Roman" w:cs="Times New Roman"/>
          <w:sz w:val="26"/>
          <w:szCs w:val="26"/>
        </w:rPr>
        <w:t>ризнает относимыми, допустимыми, достаточными.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ст.19 Федерального закона от 31.07.2020 №248-ФЗ «О государственном контроле (надзоре) и муниципальном контроле в Российской Федерации» (далее - Федеральный закон №248-ФЗ) единый реестр контрольных (надзорных) мероприятий создается, среди прочего, в целях учета проводимых контрольными (надзорными) органами указанных в законе профилактических мероприятий,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 учета решений и действий должностных лиц контрольных (надзорных) органов, решений контрольных (надзорных) органов, принятых при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проведении мероприятий и принятии мер, указанных в пункте 1 данной части, а также принятых по итогам рассмотрения жалоб контролируемых лиц.</w:t>
      </w:r>
    </w:p>
    <w:p>
      <w:pPr>
        <w:widowControl w:val="0"/>
        <w:spacing w:before="0" w:after="0" w:line="326" w:lineRule="atLeast"/>
        <w:ind w:left="34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ч.5 данной статьи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2 ст.19 Федерального закона №248-ФЗ предусмотрено, что правила формирования и ведения единого реестра контрольных (надзорных) мероприятий, в том числе правила размещения в сети «Интернет» общедоступных сведений, утверждаются Правительством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формирования и ведения единого реестра контрольных (надзорных) мероприятий, утверждены постановлением Правительства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от 16.04.2021 №604 (далее - Правила).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п.6 Раздела III Правил следует, что состав сведений и сроки их внесения в единый реестр приведены в приложении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указанным Правилам.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17 Раздела III Правил предусмотрено, что в целях формирования единого реестра контрольные (надзорные) органы, среди прочего, определяют уполномоченных должностных лиц, которым необходимо обеспечить доступ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единому реестру, их полномочия по формированию и заполнению единого реестра,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подпункте «а» данного пункта,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приложением к настоящим Правилам.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п.19 Раздела III Правил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2.4 КоАП РФ предусматривает, что административной ответственности подлежит должностное лицо в случае совершения им административного правонарушения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</w:t>
      </w:r>
      <w:r>
        <w:rPr>
          <w:rFonts w:ascii="Times New Roman" w:eastAsia="Times New Roman" w:hAnsi="Times New Roman" w:cs="Times New Roman"/>
          <w:sz w:val="26"/>
          <w:szCs w:val="26"/>
        </w:rPr>
        <w:t>отренного ч.3 ст.19.6.1 КоАП РФ, что следует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приказа о переводе работника на другую работу; должностн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наделена организационно-распорядительными полномочиями, в связи с чем, в силу ст. 2.4 КоАП РФ несет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 своевременное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размещение информации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ФГИС ЕРКНМ.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вменяемого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имеющимися в материалах дела непротиворечивыми, </w:t>
      </w:r>
      <w:r>
        <w:rPr>
          <w:rFonts w:ascii="Times New Roman" w:eastAsia="Times New Roman" w:hAnsi="Times New Roman" w:cs="Times New Roman"/>
          <w:sz w:val="26"/>
          <w:szCs w:val="26"/>
        </w:rPr>
        <w:t>последовательными, соответствующими критерию относимости и допустимости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мировой судья находит вину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начальника территориального отдела Управления федеральной службы по надзору в сфере защиты прав потребителей и благополучия человека в г. Нефтеюганске и Нефтеюганском районе и г. </w:t>
      </w:r>
      <w:r>
        <w:rPr>
          <w:rFonts w:ascii="Times New Roman" w:eastAsia="Times New Roman" w:hAnsi="Times New Roman" w:cs="Times New Roman"/>
          <w:sz w:val="26"/>
          <w:szCs w:val="26"/>
        </w:rPr>
        <w:t>Пыть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Яхе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установленной,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 ч.3 ст.19.6.1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как несоблюдение должностными лицами федеральных органов исполнительной власти, уполномоченных на осуществление государственного контроля (надзора),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законодательства о государственном контроле (надзоре), муниципальном контроле, выразившееся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мероприятии, контрольном (надзорном) мероприятии в единый реестр контрольных (надзорных) мероприятий, либо во внесении два и более раза в течение одного года неполной или недостоверной информации о проверке в единый реестр проверок.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нность, является признание вины, раскаяние, совершение правонарушения впервые.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и степень общественной опасности правонарушения, личность лица,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впервые,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причины, послужившие основанием для нарушение сроков размещение информации, что не причинило вреда,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имущественного ущерба,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создало возникновения угрозы причинения вреда и наступления тяжких последствий в результате совершенного правонарушения,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считает возможным назначить 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начальника территориального отдела Управления федеральной службы по надзору в сфере защиты прав потребителей и благополучия человека в г. Нефтеюганске и Нефтеюганском районе и г. </w:t>
      </w:r>
      <w:r>
        <w:rPr>
          <w:rFonts w:ascii="Times New Roman" w:eastAsia="Times New Roman" w:hAnsi="Times New Roman" w:cs="Times New Roman"/>
          <w:sz w:val="26"/>
          <w:szCs w:val="26"/>
        </w:rPr>
        <w:t>Пыть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Яхе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Марину Михайловну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ст.19.6.1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назнач</w:t>
      </w:r>
      <w:r>
        <w:rPr>
          <w:rFonts w:ascii="Times New Roman" w:eastAsia="Times New Roman" w:hAnsi="Times New Roman" w:cs="Times New Roman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PassportDatagrp-36rplc-16">
    <w:name w:val="cat-PassportData grp-36 rplc-16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PassportDatagrp-37rplc-20">
    <w:name w:val="cat-PassportData grp-37 rplc-20"/>
    <w:basedOn w:val="DefaultParagraphFont"/>
  </w:style>
  <w:style w:type="character" w:customStyle="1" w:styleId="cat-ExternalSystemDefinedgrp-43rplc-21">
    <w:name w:val="cat-ExternalSystemDefined grp-43 rplc-21"/>
    <w:basedOn w:val="DefaultParagraphFont"/>
  </w:style>
  <w:style w:type="character" w:customStyle="1" w:styleId="cat-ExternalSystemDefinedgrp-41rplc-22">
    <w:name w:val="cat-ExternalSystemDefined grp-41 rplc-22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49rplc-57">
    <w:name w:val="cat-UserDefined grp-49 rplc-57"/>
    <w:basedOn w:val="DefaultParagraphFont"/>
  </w:style>
  <w:style w:type="character" w:customStyle="1" w:styleId="cat-UserDefinedgrp-49rplc-77">
    <w:name w:val="cat-UserDefined grp-49 rplc-77"/>
    <w:basedOn w:val="DefaultParagraphFont"/>
  </w:style>
  <w:style w:type="character" w:customStyle="1" w:styleId="cat-UserDefinedgrp-50rplc-92">
    <w:name w:val="cat-UserDefined grp-50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0600450.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